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CDC0" w14:textId="77777777" w:rsidR="00B056DD" w:rsidRPr="00CB3313" w:rsidRDefault="00B056DD" w:rsidP="00B056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3313">
        <w:rPr>
          <w:rFonts w:cstheme="minorHAnsi"/>
          <w:b/>
          <w:bCs/>
          <w:sz w:val="24"/>
          <w:szCs w:val="24"/>
        </w:rPr>
        <w:t>C-225-H001 PERFORMANCE WORK STATEMENT (PWS) FOR SEXUAL HARASSMENT/ASSAULT</w:t>
      </w:r>
    </w:p>
    <w:p w14:paraId="37633656" w14:textId="58E43F6D" w:rsidR="00B056DD" w:rsidRPr="00CB3313" w:rsidRDefault="00B056DD" w:rsidP="00B056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3313">
        <w:rPr>
          <w:rFonts w:cstheme="minorHAnsi"/>
          <w:b/>
          <w:bCs/>
          <w:sz w:val="24"/>
          <w:szCs w:val="24"/>
        </w:rPr>
        <w:t>RESPONSE AND PREVENTION (SHARP) (MAR 2019)</w:t>
      </w:r>
    </w:p>
    <w:p w14:paraId="4762235F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</w:p>
    <w:p w14:paraId="7428572F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(a) Sexual Assault and Sexual Harassment Policy. The Contractor shall ensure all employees comply with the</w:t>
      </w:r>
    </w:p>
    <w:p w14:paraId="4AA58D06" w14:textId="6482E936" w:rsid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Sexual Harassment/Assault Response and Prevention (SHARP) criteria outlined in Attachment 1 of this PWS.</w:t>
      </w:r>
    </w:p>
    <w:p w14:paraId="0D39BB2D" w14:textId="77777777" w:rsidR="002D3CCE" w:rsidRPr="00B056DD" w:rsidRDefault="002D3CCE" w:rsidP="00B056DD">
      <w:pPr>
        <w:spacing w:after="0" w:line="240" w:lineRule="auto"/>
        <w:rPr>
          <w:rFonts w:cstheme="minorHAnsi"/>
          <w:sz w:val="20"/>
          <w:szCs w:val="20"/>
        </w:rPr>
      </w:pPr>
    </w:p>
    <w:p w14:paraId="4C200F32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(1) SHARP Compliance: The Contractor shall certify that all employees performing work under this contract</w:t>
      </w:r>
    </w:p>
    <w:p w14:paraId="04F3E036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have been fully trained per the requirements in Attachment 1. If an employee is not proficient in English, SHARP</w:t>
      </w:r>
    </w:p>
    <w:p w14:paraId="1AED3270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training must be given in the employee’s native language. The COR shall be provided with the following</w:t>
      </w:r>
    </w:p>
    <w:p w14:paraId="18B4BCB8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information at a minimum: a copy of the Contractor’s SHARP policy, training materials, employee's name, civil</w:t>
      </w:r>
    </w:p>
    <w:p w14:paraId="68B8A400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identification number and date trained, including language of training. Proof of SHARP training compliance is due</w:t>
      </w:r>
    </w:p>
    <w:p w14:paraId="0E7886F1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within five (5) days after initial contract award and within 48 hours after arrival of new personnel on site.</w:t>
      </w:r>
    </w:p>
    <w:p w14:paraId="40DD9774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(2) The Contractor shall conduct training of all employees annually to prevent sexual assault and sexual</w:t>
      </w:r>
    </w:p>
    <w:p w14:paraId="21694CBA" w14:textId="4FE3781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harassment. This training must, at a minimum, ensure that all the Contractor employees understand the definitions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and information outlined in Attachment 1.</w:t>
      </w:r>
    </w:p>
    <w:p w14:paraId="5FB150D6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(3) Compliance with required SHARP training for each employee shall be reported to the Contracting Officer</w:t>
      </w:r>
    </w:p>
    <w:p w14:paraId="307716B5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Representative prior to the employee being allowed access to the worksite. The Contractor’s SHARP policy must</w:t>
      </w:r>
    </w:p>
    <w:p w14:paraId="63AEE5FC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comply with the Department of Defense (DoD) policy in the Army Central Command (ARCENT) Area of</w:t>
      </w:r>
    </w:p>
    <w:p w14:paraId="47B9D248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Responsibility (AOR).</w:t>
      </w:r>
    </w:p>
    <w:p w14:paraId="3EC4F6EA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(4) The DoD has adopted a policy to prevent sexual assault and sexual harassment. This SHARP policy</w:t>
      </w:r>
    </w:p>
    <w:p w14:paraId="254131EC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mandates that Contractors and contractor employees in the Army Central Command (ARCENT) Area of</w:t>
      </w:r>
    </w:p>
    <w:p w14:paraId="5124E614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Responsibility (AOR) shall not -</w:t>
      </w:r>
    </w:p>
    <w:p w14:paraId="0F9B61B7" w14:textId="77777777" w:rsidR="00B056DD" w:rsidRPr="00B056DD" w:rsidRDefault="00B056DD" w:rsidP="002D3CC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(i) Commit acts of sexual assault against any person on any camp, post, installation, or other United States</w:t>
      </w:r>
    </w:p>
    <w:p w14:paraId="570051CA" w14:textId="77777777" w:rsidR="00B056DD" w:rsidRPr="00B056DD" w:rsidRDefault="00B056DD" w:rsidP="002D3CC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enclave within the ARCENT AOR; or</w:t>
      </w:r>
    </w:p>
    <w:p w14:paraId="424EA7F2" w14:textId="77777777" w:rsidR="00B056DD" w:rsidRPr="00B056DD" w:rsidRDefault="00B056DD" w:rsidP="002D3CC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(ii) Sexually harass any person on any camp, post, installation, or other United States enclave within the</w:t>
      </w:r>
    </w:p>
    <w:p w14:paraId="5E8DC887" w14:textId="77777777" w:rsidR="00B056DD" w:rsidRPr="00B056DD" w:rsidRDefault="00B056DD" w:rsidP="002D3CC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ARCENT AOR.</w:t>
      </w:r>
    </w:p>
    <w:p w14:paraId="0052C62D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(5) The Contractor shall enforce standards for discipline, appearance, conduct, and courtesy IAW the published</w:t>
      </w:r>
    </w:p>
    <w:p w14:paraId="02896BBE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CENTCOM, USFOR-A and/or Base Commander Standards. For Contractors at Bagram Airfield (BAF) or for</w:t>
      </w:r>
    </w:p>
    <w:p w14:paraId="6CF6FEC3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contractors transiting BAF, they must abide by the Commander Bagram Airfield (COMBAF) Standards of Conduct</w:t>
      </w:r>
    </w:p>
    <w:p w14:paraId="5A986388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while performing at any level (prime or subcontractor) on BAF and any other installation and facility for which</w:t>
      </w:r>
    </w:p>
    <w:p w14:paraId="2F91570C" w14:textId="65652405" w:rsidR="006B40FC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COMBAF standards are applicable. COMBAF Standards are published at:</w:t>
      </w:r>
    </w:p>
    <w:p w14:paraId="12522E5E" w14:textId="3A3DD0F9" w:rsidR="00B056DD" w:rsidRPr="00B056DD" w:rsidRDefault="002D3CCE" w:rsidP="002D3CCE">
      <w:pPr>
        <w:spacing w:after="0" w:line="240" w:lineRule="auto"/>
        <w:ind w:left="720"/>
        <w:rPr>
          <w:rFonts w:cstheme="minorHAnsi"/>
          <w:sz w:val="20"/>
          <w:szCs w:val="20"/>
        </w:rPr>
      </w:pPr>
      <w:hyperlink r:id="rId6" w:history="1">
        <w:r w:rsidRPr="0019623B">
          <w:rPr>
            <w:rStyle w:val="Hyperlink"/>
            <w:rFonts w:cstheme="minorHAnsi"/>
            <w:sz w:val="20"/>
            <w:szCs w:val="20"/>
          </w:rPr>
          <w:t>http://usfora.afghan.swa.army.mil/baf/des/pmo/Shared%20Documents/COMBAF%20Standards%20Book%20as%20of%208OCT17.pdf#search=COMBAF%20Standards</w:t>
        </w:r>
      </w:hyperlink>
      <w:r>
        <w:rPr>
          <w:rFonts w:cstheme="minorHAnsi"/>
          <w:sz w:val="20"/>
          <w:szCs w:val="20"/>
        </w:rPr>
        <w:t xml:space="preserve"> </w:t>
      </w:r>
      <w:r w:rsidR="00B056DD" w:rsidRPr="00B056DD">
        <w:rPr>
          <w:rFonts w:cstheme="minorHAnsi"/>
          <w:sz w:val="20"/>
          <w:szCs w:val="20"/>
        </w:rPr>
        <w:t>.</w:t>
      </w:r>
    </w:p>
    <w:p w14:paraId="7CD82395" w14:textId="77777777" w:rsidR="004264C7" w:rsidRDefault="004264C7" w:rsidP="00B056DD">
      <w:pPr>
        <w:spacing w:after="0" w:line="240" w:lineRule="auto"/>
        <w:rPr>
          <w:rFonts w:cstheme="minorHAnsi"/>
          <w:sz w:val="20"/>
          <w:szCs w:val="20"/>
        </w:rPr>
      </w:pPr>
    </w:p>
    <w:p w14:paraId="75C98C82" w14:textId="701BFD7A" w:rsidR="00B056DD" w:rsidRPr="004264C7" w:rsidRDefault="00B056DD" w:rsidP="00B056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64C7">
        <w:rPr>
          <w:rFonts w:cstheme="minorHAnsi"/>
          <w:b/>
          <w:bCs/>
          <w:sz w:val="24"/>
          <w:szCs w:val="24"/>
        </w:rPr>
        <w:t>ATTACHMENT 1</w:t>
      </w:r>
    </w:p>
    <w:p w14:paraId="5020588D" w14:textId="2EABBFA0" w:rsid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"Sexual Assault and Sexual Harassment Training Criteria</w:t>
      </w:r>
    </w:p>
    <w:p w14:paraId="0DE3261C" w14:textId="77777777" w:rsidR="00AD78F1" w:rsidRPr="00B056DD" w:rsidRDefault="00AD78F1" w:rsidP="00B056DD">
      <w:pPr>
        <w:spacing w:after="0" w:line="240" w:lineRule="auto"/>
        <w:rPr>
          <w:rFonts w:cstheme="minorHAnsi"/>
          <w:sz w:val="20"/>
          <w:szCs w:val="20"/>
        </w:rPr>
      </w:pPr>
    </w:p>
    <w:p w14:paraId="03F206D9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(a) Definitions.</w:t>
      </w:r>
    </w:p>
    <w:p w14:paraId="76FD5C57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"Sexual Assault" means - A crime defined as intentional sexual contact, characterized by use of force, physical</w:t>
      </w:r>
    </w:p>
    <w:p w14:paraId="70CC6792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threat or abuse of authority or when the victim does not or cannot consent. Sexual assault includes rape,</w:t>
      </w:r>
    </w:p>
    <w:p w14:paraId="6CAE3084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nonconsensual sodomy (oral or anal sex), indecent assault (unwanted, inappropriate sexual contact or fondling), or</w:t>
      </w:r>
    </w:p>
    <w:p w14:paraId="7188281E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attempts to commit these acts. Sexual assault can occur without regard to gender or spousal relationship or age of</w:t>
      </w:r>
    </w:p>
    <w:p w14:paraId="0F7803F5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victim. "Consent" will not be deemed or construed to mean the failure by the victim to offer physical resistance.</w:t>
      </w:r>
    </w:p>
    <w:p w14:paraId="0A3C87A1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Consent is not given when a person uses force, threat of force, or coercion or when the victim is asleep,</w:t>
      </w:r>
    </w:p>
    <w:p w14:paraId="4F2BD2C0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incapacitated, or unconscious.</w:t>
      </w:r>
    </w:p>
    <w:p w14:paraId="5F40F07B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“Sexual Harassment” is a form of sex discrimination that involves unwelcome sexual advances, requests for</w:t>
      </w:r>
    </w:p>
    <w:p w14:paraId="59568BA1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sexual favors, and other verbal or physical conduct of a sexual nature when:</w:t>
      </w:r>
    </w:p>
    <w:p w14:paraId="68377D5F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(1) Submission to such conduct is made either explicitly or implicitly a term or condition of a person's job, pay,</w:t>
      </w:r>
    </w:p>
    <w:p w14:paraId="33D19634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or career, or</w:t>
      </w:r>
    </w:p>
    <w:p w14:paraId="0A7C29ED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(2) Submission to or rejection of such conduct by a person is used as a basis for career or employment decisions</w:t>
      </w:r>
    </w:p>
    <w:p w14:paraId="58612530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affecting that person, or</w:t>
      </w:r>
    </w:p>
    <w:p w14:paraId="21DC9634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(3) Such conduct has the purpose or effect of unreasonably interfering with an individual's work performance or</w:t>
      </w:r>
    </w:p>
    <w:p w14:paraId="267B14B8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lastRenderedPageBreak/>
        <w:t>creates an intimidating, hostile, or offensive working environment. This definition emphasizes that workplace</w:t>
      </w:r>
    </w:p>
    <w:p w14:paraId="0F566985" w14:textId="799D5D7B" w:rsid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conduct, to be actionable as "abusive work environment" harassment, need not result in concrete psychological harm</w:t>
      </w:r>
      <w:r w:rsidR="00F4387D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to the victim, but rather need only be so severe or pervasive that a reasonable person would perceive, and the victim</w:t>
      </w:r>
      <w:r w:rsidR="00F4387D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does perceive, the work environment as hostile or offensive. Any person in a supervisory or command position who</w:t>
      </w:r>
      <w:r w:rsidR="00F4387D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uses or condones any form of sexual behavior to control, influence, or affect the career, pay, or job of an employee</w:t>
      </w:r>
      <w:r w:rsidR="00F4387D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is engaging in sexual harassment. Similarly, any employee who makes deliberate or repeated unwelcome verbal</w:t>
      </w:r>
      <w:r w:rsidR="00F4387D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comments, gestures, or physical contact of a sexual nature in the workplace is also engaging in sexual harassment.</w:t>
      </w:r>
    </w:p>
    <w:p w14:paraId="25184214" w14:textId="77777777" w:rsidR="00AD78F1" w:rsidRPr="00B056DD" w:rsidRDefault="00AD78F1" w:rsidP="00B056DD">
      <w:pPr>
        <w:spacing w:after="0" w:line="240" w:lineRule="auto"/>
        <w:rPr>
          <w:rFonts w:cstheme="minorHAnsi"/>
          <w:sz w:val="20"/>
          <w:szCs w:val="20"/>
        </w:rPr>
      </w:pPr>
    </w:p>
    <w:p w14:paraId="011ABB55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Categories of sexual harassment are:</w:t>
      </w:r>
    </w:p>
    <w:p w14:paraId="79915F34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(1) Verbal - Examples include telling sexual jokes; using sexually explicit profanity, threats, sexually oriented</w:t>
      </w:r>
    </w:p>
    <w:p w14:paraId="58FE37FD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cadences, or sexual comments; whistling in a sexually suggestive manner; and describing certain attributes of one's</w:t>
      </w:r>
    </w:p>
    <w:p w14:paraId="2BB6D215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physical appearance in a sexual manner.</w:t>
      </w:r>
    </w:p>
    <w:p w14:paraId="1FA63C0F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(2) Nonverbal - Examples include staring at someone, blowing kisses, winking, or licking one's lips in a</w:t>
      </w:r>
    </w:p>
    <w:p w14:paraId="475AC96A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suggestive manner. The term may also include printed material (for example, displaying sexually oriented pictures</w:t>
      </w:r>
    </w:p>
    <w:p w14:paraId="00EDC9AB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or cartoons); using sexually oriented screen savers on one's computer; or sending sexually oriented notes, letters,</w:t>
      </w:r>
    </w:p>
    <w:p w14:paraId="3D5E56A6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faxes or email.</w:t>
      </w:r>
    </w:p>
    <w:p w14:paraId="672EFA9E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(3) Physical Contact - Examples include touching, patting, pinching, bumping, grabbing, cornering, or blocking</w:t>
      </w:r>
    </w:p>
    <w:p w14:paraId="10515C50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 passageway; kissing; and providing unsolicited back or neck rubs.</w:t>
      </w:r>
    </w:p>
    <w:p w14:paraId="1C4F2588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(b) Contractor Policy.</w:t>
      </w:r>
    </w:p>
    <w:p w14:paraId="235F9C4A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Contractor policy shall comply with the policy adopted by the DoD to prevent sexual assault and sexual</w:t>
      </w:r>
    </w:p>
    <w:p w14:paraId="7423D01F" w14:textId="3B8832A1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harassment. The DoD policy includes the following provisions:</w:t>
      </w:r>
    </w:p>
    <w:p w14:paraId="30CD5BE9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Contractors and contractor employees in the Army Central Command (ARCENT) Area of Responsibility</w:t>
      </w:r>
    </w:p>
    <w:p w14:paraId="514BD056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(AOR) shall not -</w:t>
      </w:r>
    </w:p>
    <w:p w14:paraId="64845326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(1) Commit acts of sexual assault against any person on any camp, post, installation, or other United States</w:t>
      </w:r>
    </w:p>
    <w:p w14:paraId="4376C5D3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enclave within the ARCENT AOR; or</w:t>
      </w:r>
    </w:p>
    <w:p w14:paraId="3E901482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(2) Sexually harass any person on any camp, post, installation, or other United States enclave within the</w:t>
      </w:r>
    </w:p>
    <w:p w14:paraId="386F856F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ARCENT AOR.</w:t>
      </w:r>
    </w:p>
    <w:p w14:paraId="295ED4BC" w14:textId="5E39B080" w:rsid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(c) Contractor Requirements.</w:t>
      </w:r>
    </w:p>
    <w:p w14:paraId="6634FE68" w14:textId="77777777" w:rsidR="00AD78F1" w:rsidRPr="00B056DD" w:rsidRDefault="00AD78F1" w:rsidP="00B056DD">
      <w:pPr>
        <w:spacing w:after="0" w:line="240" w:lineRule="auto"/>
        <w:rPr>
          <w:rFonts w:cstheme="minorHAnsi"/>
          <w:sz w:val="20"/>
          <w:szCs w:val="20"/>
        </w:rPr>
      </w:pPr>
    </w:p>
    <w:p w14:paraId="3613E8DE" w14:textId="77777777" w:rsidR="00B056DD" w:rsidRPr="00AD78F1" w:rsidRDefault="00B056DD" w:rsidP="00B056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D78F1">
        <w:rPr>
          <w:rFonts w:cstheme="minorHAnsi"/>
          <w:b/>
          <w:bCs/>
          <w:sz w:val="24"/>
          <w:szCs w:val="24"/>
        </w:rPr>
        <w:t>(1) Written Sexual Assault/Sexual Harassment Policy</w:t>
      </w:r>
    </w:p>
    <w:p w14:paraId="34D96BCF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a. The Contractor shall have a written sexual assault/sexual harassment policy published to all employees that</w:t>
      </w:r>
    </w:p>
    <w:p w14:paraId="5AC900F2" w14:textId="3ACBD3EE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addresses, at a minimum, the following: (i) the definitions of sexual assault and sexual harassment as defined above</w:t>
      </w:r>
      <w:r w:rsidR="004264C7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in paragraph (a); (ii) a description of sexual harassment (iii) the company’s internal complaint process and the</w:t>
      </w:r>
      <w:r w:rsidR="004264C7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company’s internal process for adjudication; (iv) the available channels through which an employee can report a</w:t>
      </w:r>
      <w:r w:rsidR="004264C7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sexual assault; and (v) protection against retaliation, coercion, and reprisal.</w:t>
      </w:r>
    </w:p>
    <w:p w14:paraId="6C36313B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b. The policy shall address that victims of sexual assault shall be protected, treated with dignity and respect, and</w:t>
      </w:r>
    </w:p>
    <w:p w14:paraId="31A22DE5" w14:textId="3BCC735F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shall receive timely access to comprehensive healthcare (medical and mental health) treatment, including emergency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care treatment and services. Emergency care consists of emergency healthcare and the offer of a Sexual Assault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Forensic Examination (SAFE) consistent with the Department of Justice protocol. The victim shall be advised that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even if a SAFE is declined, the victim is encouraged (but not mandated) to seek medical care. Contractor employees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are only eligible to file an Unrestricted Report. Contractor employees will also be offered LIMITED Sexual Assault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Prevention and Response or SAPR services, meaning the assistance of a Sexual Assault Response Coordinator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(SARC) and a SAPR Victim Advocate (VA) while undergoing emergency care OCONUS. These limited emergency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medical services (at a Military Treatment Facility) and SAPR services shall be provided at no cost by the USG to all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 xml:space="preserve">DoD contractor personnel. Limited medical services </w:t>
      </w:r>
      <w:proofErr w:type="gramStart"/>
      <w:r w:rsidRPr="00B056DD">
        <w:rPr>
          <w:rFonts w:cstheme="minorHAnsi"/>
          <w:sz w:val="20"/>
          <w:szCs w:val="20"/>
        </w:rPr>
        <w:t>are:</w:t>
      </w:r>
      <w:proofErr w:type="gramEnd"/>
      <w:r w:rsidRPr="00B056DD">
        <w:rPr>
          <w:rFonts w:cstheme="minorHAnsi"/>
          <w:sz w:val="20"/>
          <w:szCs w:val="20"/>
        </w:rPr>
        <w:t xml:space="preserve"> a SAFE exam and consultation regarding further care in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 xml:space="preserve">accordance with </w:t>
      </w:r>
      <w:proofErr w:type="spellStart"/>
      <w:r w:rsidRPr="00B056DD">
        <w:rPr>
          <w:rFonts w:cstheme="minorHAnsi"/>
          <w:sz w:val="20"/>
          <w:szCs w:val="20"/>
        </w:rPr>
        <w:t>DoDI</w:t>
      </w:r>
      <w:proofErr w:type="spellEnd"/>
      <w:r w:rsidRPr="00B056DD">
        <w:rPr>
          <w:rFonts w:cstheme="minorHAnsi"/>
          <w:sz w:val="20"/>
          <w:szCs w:val="20"/>
        </w:rPr>
        <w:t xml:space="preserve"> 6495.02.</w:t>
      </w:r>
    </w:p>
    <w:p w14:paraId="35C77160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c. The contractor shall designate an employee credentialed in Victim Advocacy as the company POC (for more</w:t>
      </w:r>
    </w:p>
    <w:p w14:paraId="3F5538C8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information regarding credentialing as a Victim Advocate visit the National Advocate Credentialing Program</w:t>
      </w:r>
    </w:p>
    <w:p w14:paraId="43702061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(NACP): https://www.thenacp.org).</w:t>
      </w:r>
    </w:p>
    <w:p w14:paraId="3F970D45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d. The Contractor shall provide a Sexual Assault/Sexual Harassment and Awareness Training Plan that includes</w:t>
      </w:r>
    </w:p>
    <w:p w14:paraId="20E4D65A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 xml:space="preserve">a schedule for all training. The Plan shall identify the methods of training (e.g. classroom, on-line, </w:t>
      </w:r>
      <w:proofErr w:type="spellStart"/>
      <w:r w:rsidRPr="00B056DD">
        <w:rPr>
          <w:rFonts w:cstheme="minorHAnsi"/>
          <w:sz w:val="20"/>
          <w:szCs w:val="20"/>
        </w:rPr>
        <w:t>etc</w:t>
      </w:r>
      <w:proofErr w:type="spellEnd"/>
      <w:r w:rsidRPr="00B056DD">
        <w:rPr>
          <w:rFonts w:cstheme="minorHAnsi"/>
          <w:sz w:val="20"/>
          <w:szCs w:val="20"/>
        </w:rPr>
        <w:t>), as well as</w:t>
      </w:r>
    </w:p>
    <w:p w14:paraId="05FFFCB6" w14:textId="77777777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lastRenderedPageBreak/>
        <w:t>intervals (e.g. quarterly) for refresher training, as applicable. The plan shall address (but not be limited to) such</w:t>
      </w:r>
    </w:p>
    <w:p w14:paraId="445809CC" w14:textId="7B8810D6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things as: procedures for training each employee, training record retention, method/mode of instruction, instructor</w:t>
      </w:r>
      <w:r w:rsidR="00AD78F1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B056DD">
        <w:rPr>
          <w:rFonts w:cstheme="minorHAnsi"/>
          <w:sz w:val="20"/>
          <w:szCs w:val="20"/>
        </w:rPr>
        <w:t>accreditation, on-line/web-based resources/training aids. The Contractor’s Training shall address, at a minimum, the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following:</w:t>
      </w:r>
    </w:p>
    <w:p w14:paraId="007CAA36" w14:textId="77777777" w:rsidR="00B056DD" w:rsidRPr="00B056DD" w:rsidRDefault="00B056DD" w:rsidP="002D3CC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(i) Define what constitutes sexual assault and sexual harassment.</w:t>
      </w:r>
    </w:p>
    <w:p w14:paraId="499A7797" w14:textId="77777777" w:rsidR="00B056DD" w:rsidRPr="00B056DD" w:rsidRDefault="00B056DD" w:rsidP="002D3CC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(ii) Explain that sexual assault is a crime.</w:t>
      </w:r>
    </w:p>
    <w:p w14:paraId="564F618F" w14:textId="3A8A97E3" w:rsidR="00B056DD" w:rsidRPr="00B056DD" w:rsidRDefault="00B056DD" w:rsidP="002D3CCE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 xml:space="preserve">(iii) Define the meaning of “consent” as defined in </w:t>
      </w:r>
      <w:proofErr w:type="spellStart"/>
      <w:r w:rsidRPr="00B056DD">
        <w:rPr>
          <w:rFonts w:cstheme="minorHAnsi"/>
          <w:sz w:val="20"/>
          <w:szCs w:val="20"/>
        </w:rPr>
        <w:t>DoDD</w:t>
      </w:r>
      <w:proofErr w:type="spellEnd"/>
      <w:r w:rsidRPr="00B056DD">
        <w:rPr>
          <w:rFonts w:cstheme="minorHAnsi"/>
          <w:sz w:val="20"/>
          <w:szCs w:val="20"/>
        </w:rPr>
        <w:t xml:space="preserve"> 6495.01 (Sexual Assault Prevention and Response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Program, SAPR).</w:t>
      </w:r>
    </w:p>
    <w:p w14:paraId="730B15A3" w14:textId="4F09FDA9" w:rsidR="00B056DD" w:rsidRPr="00B056DD" w:rsidRDefault="00B056DD" w:rsidP="002D3CCE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(iv) Address individual accountability and the potential for UCMJ violations.</w:t>
      </w:r>
    </w:p>
    <w:p w14:paraId="3A4BB835" w14:textId="77777777" w:rsidR="00B056DD" w:rsidRPr="00B056DD" w:rsidRDefault="00B056DD" w:rsidP="002D3C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(v) Explain victim’s rights under the UCMJ (to include consideration of the victim's preference whether the</w:t>
      </w:r>
    </w:p>
    <w:p w14:paraId="05E69802" w14:textId="77777777" w:rsidR="00B056DD" w:rsidRPr="00B056DD" w:rsidRDefault="00B056DD" w:rsidP="002D3C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office should be prosecuted by court-martial or in a civilian court).</w:t>
      </w:r>
    </w:p>
    <w:p w14:paraId="47C2CD22" w14:textId="68DDEB1E" w:rsidR="00B056DD" w:rsidRPr="00B056DD" w:rsidRDefault="00B056DD" w:rsidP="002D3CCE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(vi) Explain the distinction between sexual harassment and sexual assault and that both are unacceptable forms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of behavior even though they may have different penalties. Emphasis the distinction between civil and criminal</w:t>
      </w:r>
      <w:r w:rsidR="002D3CCE">
        <w:rPr>
          <w:rFonts w:cstheme="minorHAnsi"/>
          <w:sz w:val="20"/>
          <w:szCs w:val="20"/>
        </w:rPr>
        <w:t xml:space="preserve"> </w:t>
      </w:r>
      <w:r w:rsidRPr="00B056DD">
        <w:rPr>
          <w:rFonts w:cstheme="minorHAnsi"/>
          <w:sz w:val="20"/>
          <w:szCs w:val="20"/>
        </w:rPr>
        <w:t>actions.</w:t>
      </w:r>
    </w:p>
    <w:p w14:paraId="17447A8E" w14:textId="77777777" w:rsidR="00B056DD" w:rsidRPr="00B056DD" w:rsidRDefault="00B056DD" w:rsidP="002D3C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(vii) Explain Unrestricted Reporting.</w:t>
      </w:r>
    </w:p>
    <w:p w14:paraId="391E4DF6" w14:textId="77777777" w:rsidR="00B056DD" w:rsidRPr="00B056DD" w:rsidRDefault="00B056DD" w:rsidP="002D3C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(viii) Provide an awareness of the SAPR program, as well as the roles and responsibilities of company</w:t>
      </w:r>
    </w:p>
    <w:p w14:paraId="5AA1AEEE" w14:textId="77777777" w:rsidR="00B056DD" w:rsidRPr="00B056DD" w:rsidRDefault="00B056DD" w:rsidP="002D3C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managers, including all available resources for victims.</w:t>
      </w:r>
    </w:p>
    <w:p w14:paraId="07C0D521" w14:textId="77777777" w:rsidR="00B056DD" w:rsidRPr="00B056DD" w:rsidRDefault="00B056DD" w:rsidP="002D3C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(d) Notification.</w:t>
      </w:r>
    </w:p>
    <w:p w14:paraId="0BBCFF59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(1) The Contractor shall notify its employees of the following:</w:t>
      </w:r>
    </w:p>
    <w:p w14:paraId="6C9CC130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a. The DoD policy regarding Sexual Assault/Sexual Harassment; and</w:t>
      </w:r>
    </w:p>
    <w:p w14:paraId="54AC2FB2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b. The actions that will be taken against employees for violations of this policy. Such actions may include, but</w:t>
      </w:r>
    </w:p>
    <w:p w14:paraId="6CAE90CF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are not limited to, removal from the contract, reduction in benefits, or termination of employment.</w:t>
      </w:r>
    </w:p>
    <w:p w14:paraId="7FF64A89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(2) The Contractor shall take appropriate action, up to and including termination, against employees or</w:t>
      </w:r>
    </w:p>
    <w:p w14:paraId="269654FE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Subcontractors that violate the policy in paragraph (B) above. (3) The Contractor shall inform the Contracting</w:t>
      </w:r>
    </w:p>
    <w:p w14:paraId="70476B6A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Officer immediately of the following:</w:t>
      </w:r>
    </w:p>
    <w:p w14:paraId="7EF0A4DC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a. Any information it receives from any source (including host country law enforcement) that alleges a</w:t>
      </w:r>
    </w:p>
    <w:p w14:paraId="70F186BA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Contractor employee, Subcontractor, or Subcontractor employee has engaged in conduct that violates this policy;</w:t>
      </w:r>
    </w:p>
    <w:p w14:paraId="7CCA82AE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and</w:t>
      </w:r>
    </w:p>
    <w:p w14:paraId="000449D2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b. Any actions taken against Contractor employees, Subcontractors, or Subcontractor employees pursuant to this</w:t>
      </w:r>
    </w:p>
    <w:p w14:paraId="3F90B376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policy.</w:t>
      </w:r>
    </w:p>
    <w:p w14:paraId="2D419C39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(e) Remedies. In addition to other remedies available to the Government, the Contractor's failure to comply with</w:t>
      </w:r>
    </w:p>
    <w:p w14:paraId="4912FCB1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the requirements of paragraphs (c), (d), or (f) of this attachment may result in -</w:t>
      </w:r>
    </w:p>
    <w:p w14:paraId="7874DECD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(1) Requiring the Contractor to remove a Contractor employee or employees from the performance of the</w:t>
      </w:r>
    </w:p>
    <w:p w14:paraId="369449C5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contract;</w:t>
      </w:r>
    </w:p>
    <w:p w14:paraId="71DEE899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(2) Requiring the Contractor to terminate a subcontract;</w:t>
      </w:r>
    </w:p>
    <w:p w14:paraId="0F8E3437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(3) Suspension of contract payments;</w:t>
      </w:r>
    </w:p>
    <w:p w14:paraId="5D75D48E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(4) Loss of award fee, consistent with the award fee plan, for the performance period in which the Government</w:t>
      </w:r>
    </w:p>
    <w:p w14:paraId="0C683CBB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determined Contractor non-compliance;</w:t>
      </w:r>
    </w:p>
    <w:p w14:paraId="15EE900D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(5) Termination of the contract for default or cause, in accordance with the termination clause of this contract;</w:t>
      </w:r>
    </w:p>
    <w:p w14:paraId="7C190C73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or</w:t>
      </w:r>
    </w:p>
    <w:p w14:paraId="4D552119" w14:textId="51EF5B85" w:rsidR="00B056DD" w:rsidRP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(6) Suspension or debarment.</w:t>
      </w:r>
    </w:p>
    <w:p w14:paraId="13037971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(f) Subcontracts. The Contractor shall include the substance of this attachment, in all subcontracts.</w:t>
      </w:r>
    </w:p>
    <w:p w14:paraId="0756AB29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(g) Mitigating Factor. The Contracting Officer may consider whether the Contractor had a Sexual Assault</w:t>
      </w:r>
    </w:p>
    <w:p w14:paraId="22F105D5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Prevention and Response training program at the time of the violation as a mitigating factor when determining</w:t>
      </w:r>
    </w:p>
    <w:p w14:paraId="1379903A" w14:textId="77777777" w:rsidR="00B056DD" w:rsidRPr="00B056DD" w:rsidRDefault="00B056DD" w:rsidP="00B056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>remedies. Additional information about Sexual Assault Prevention and Response training programs can be found at</w:t>
      </w:r>
    </w:p>
    <w:p w14:paraId="6696CEB0" w14:textId="6F96D01D" w:rsidR="00B056DD" w:rsidRDefault="00B056DD" w:rsidP="00B056DD">
      <w:pPr>
        <w:spacing w:after="0" w:line="240" w:lineRule="auto"/>
        <w:rPr>
          <w:rFonts w:cstheme="minorHAnsi"/>
          <w:sz w:val="20"/>
          <w:szCs w:val="20"/>
        </w:rPr>
      </w:pPr>
      <w:r w:rsidRPr="00B056DD">
        <w:rPr>
          <w:rFonts w:cstheme="minorHAnsi"/>
          <w:sz w:val="20"/>
          <w:szCs w:val="20"/>
        </w:rPr>
        <w:t xml:space="preserve">the Department of Defense Sexual Assault Prevention and Response Home Page, </w:t>
      </w:r>
      <w:hyperlink r:id="rId7" w:history="1">
        <w:r w:rsidR="00CB3313" w:rsidRPr="0019623B">
          <w:rPr>
            <w:rStyle w:val="Hyperlink"/>
            <w:rFonts w:cstheme="minorHAnsi"/>
            <w:sz w:val="20"/>
            <w:szCs w:val="20"/>
          </w:rPr>
          <w:t>http://www.sapr.mil</w:t>
        </w:r>
      </w:hyperlink>
      <w:r w:rsidRPr="00B056DD">
        <w:rPr>
          <w:rFonts w:cstheme="minorHAnsi"/>
          <w:sz w:val="20"/>
          <w:szCs w:val="20"/>
        </w:rPr>
        <w:t>."</w:t>
      </w:r>
    </w:p>
    <w:p w14:paraId="01EE0C50" w14:textId="07BACE71" w:rsidR="00CB3313" w:rsidRDefault="00CB3313" w:rsidP="00B056DD">
      <w:pPr>
        <w:spacing w:after="0" w:line="240" w:lineRule="auto"/>
        <w:rPr>
          <w:rFonts w:cstheme="minorHAnsi"/>
          <w:sz w:val="20"/>
          <w:szCs w:val="20"/>
        </w:rPr>
      </w:pPr>
    </w:p>
    <w:p w14:paraId="6335443C" w14:textId="307FE1C7" w:rsidR="00CB3313" w:rsidRPr="00CB3313" w:rsidRDefault="00CB3313" w:rsidP="00CB33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3313">
        <w:rPr>
          <w:rFonts w:cstheme="minorHAnsi"/>
          <w:b/>
          <w:bCs/>
          <w:sz w:val="24"/>
          <w:szCs w:val="24"/>
        </w:rPr>
        <w:t>C-245-H006 ADDITIONAL REQUIREMENTS RELATING TO GOVERNMENT PROPERTY (NAVSEA) (OCT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B3313">
        <w:rPr>
          <w:rFonts w:cstheme="minorHAnsi"/>
          <w:b/>
          <w:bCs/>
          <w:sz w:val="24"/>
          <w:szCs w:val="24"/>
        </w:rPr>
        <w:t>2018)</w:t>
      </w:r>
    </w:p>
    <w:p w14:paraId="0D87AF4E" w14:textId="388E1E43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(a) For purposes of the clause entitled "Government Property" (FAR 52.245-1) in addition to those</w:t>
      </w:r>
    </w:p>
    <w:p w14:paraId="295D0054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items of property defined in that clause as Government Property, the following shall also be included within the</w:t>
      </w:r>
    </w:p>
    <w:p w14:paraId="6FE26ACF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definition of Government Property:</w:t>
      </w:r>
    </w:p>
    <w:p w14:paraId="5C286E4D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lastRenderedPageBreak/>
        <w:t>(1) the vessel;</w:t>
      </w:r>
    </w:p>
    <w:p w14:paraId="161C576B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(2) the equipment on the vessel;</w:t>
      </w:r>
    </w:p>
    <w:p w14:paraId="5852565F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(3) movable stores;</w:t>
      </w:r>
    </w:p>
    <w:p w14:paraId="69C864AF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(4) cargo; and</w:t>
      </w:r>
    </w:p>
    <w:p w14:paraId="47CB762D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(5) other material on the vessel</w:t>
      </w:r>
    </w:p>
    <w:p w14:paraId="638165B3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(b) For purposes of paragraph (b) of the clause entitled "Government Property", notwithstanding any other</w:t>
      </w:r>
    </w:p>
    <w:p w14:paraId="76277D8F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requirement of this contract, the following shall not be considered Government Property:</w:t>
      </w:r>
    </w:p>
    <w:p w14:paraId="6408C89D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(1) the vessel;</w:t>
      </w:r>
    </w:p>
    <w:p w14:paraId="40051E01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(2) the equipment on the vessel;</w:t>
      </w:r>
    </w:p>
    <w:p w14:paraId="1F5CE694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(3) movable stores; and</w:t>
      </w:r>
    </w:p>
    <w:p w14:paraId="4A0689EA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  <w:r w:rsidRPr="00CB3313">
        <w:rPr>
          <w:rFonts w:cstheme="minorHAnsi"/>
          <w:sz w:val="20"/>
          <w:szCs w:val="20"/>
        </w:rPr>
        <w:t>(4) other material on the vessel</w:t>
      </w:r>
    </w:p>
    <w:p w14:paraId="442FEBA1" w14:textId="18CA767E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</w:p>
    <w:p w14:paraId="0C55AB49" w14:textId="4D98BE80" w:rsid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</w:p>
    <w:p w14:paraId="77D10A11" w14:textId="77777777" w:rsidR="00CB3313" w:rsidRPr="00CB3313" w:rsidRDefault="00CB3313" w:rsidP="00CB3313">
      <w:pPr>
        <w:spacing w:after="0" w:line="240" w:lineRule="auto"/>
        <w:rPr>
          <w:rFonts w:cstheme="minorHAnsi"/>
          <w:sz w:val="20"/>
          <w:szCs w:val="20"/>
        </w:rPr>
      </w:pPr>
    </w:p>
    <w:sectPr w:rsidR="00CB3313" w:rsidRPr="00CB3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1341E" w14:textId="77777777" w:rsidR="00A31094" w:rsidRDefault="00A31094" w:rsidP="002D3CCE">
      <w:pPr>
        <w:spacing w:after="0" w:line="240" w:lineRule="auto"/>
      </w:pPr>
      <w:r>
        <w:separator/>
      </w:r>
    </w:p>
  </w:endnote>
  <w:endnote w:type="continuationSeparator" w:id="0">
    <w:p w14:paraId="10AC771E" w14:textId="77777777" w:rsidR="00A31094" w:rsidRDefault="00A31094" w:rsidP="002D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3851" w14:textId="77777777" w:rsidR="002D3CCE" w:rsidRDefault="002D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018D" w14:textId="77777777" w:rsidR="002D3CCE" w:rsidRDefault="002D3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F357" w14:textId="77777777" w:rsidR="002D3CCE" w:rsidRDefault="002D3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19DB" w14:textId="77777777" w:rsidR="00A31094" w:rsidRDefault="00A31094" w:rsidP="002D3CCE">
      <w:pPr>
        <w:spacing w:after="0" w:line="240" w:lineRule="auto"/>
      </w:pPr>
      <w:r>
        <w:separator/>
      </w:r>
    </w:p>
  </w:footnote>
  <w:footnote w:type="continuationSeparator" w:id="0">
    <w:p w14:paraId="7525AB05" w14:textId="77777777" w:rsidR="00A31094" w:rsidRDefault="00A31094" w:rsidP="002D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FDB5" w14:textId="77777777" w:rsidR="002D3CCE" w:rsidRDefault="002D3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1F15" w14:textId="77777777" w:rsidR="002D3CCE" w:rsidRDefault="002D3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7D24" w14:textId="77777777" w:rsidR="002D3CCE" w:rsidRDefault="002D3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D"/>
    <w:rsid w:val="002D3CCE"/>
    <w:rsid w:val="004264C7"/>
    <w:rsid w:val="006B40FC"/>
    <w:rsid w:val="00705423"/>
    <w:rsid w:val="00A31094"/>
    <w:rsid w:val="00AD78F1"/>
    <w:rsid w:val="00B056DD"/>
    <w:rsid w:val="00CB3313"/>
    <w:rsid w:val="00F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2C08"/>
  <w15:chartTrackingRefBased/>
  <w15:docId w15:val="{353B0F83-0C5E-499C-B2FA-A68E0E18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CE"/>
  </w:style>
  <w:style w:type="paragraph" w:styleId="Footer">
    <w:name w:val="footer"/>
    <w:basedOn w:val="Normal"/>
    <w:link w:val="FooterChar"/>
    <w:uiPriority w:val="99"/>
    <w:unhideWhenUsed/>
    <w:rsid w:val="002D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apr.mi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fora.afghan.swa.army.mil/baf/des/pmo/Shared%20Documents/COMBAF%20Standards%20Book%20as%20of%208OCT17.pdf#search=COMBAF%20Standard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1894</Words>
  <Characters>11010</Characters>
  <Application>Microsoft Office Word</Application>
  <DocSecurity>0</DocSecurity>
  <Lines>172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Domboroczky, Rose</dc:creator>
  <cp:keywords>Unrestricted</cp:keywords>
  <dc:description/>
  <cp:lastModifiedBy>Domboroczky, Rose</cp:lastModifiedBy>
  <cp:revision>4</cp:revision>
  <dcterms:created xsi:type="dcterms:W3CDTF">2020-10-20T20:18:00Z</dcterms:created>
  <dcterms:modified xsi:type="dcterms:W3CDTF">2020-10-20T20:22:00Z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ACCT04\e191104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